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FBF" w:rsidRPr="001D2FBF">
              <w:rPr>
                <w:rFonts w:asciiTheme="majorHAnsi" w:hAnsiTheme="majorHAnsi" w:cs="Arial"/>
                <w:b/>
                <w:sz w:val="18"/>
                <w:szCs w:val="18"/>
              </w:rPr>
              <w:t>Electrochemistry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FB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FBF">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CF0890">
                    <w:rPr>
                      <w:rFonts w:asciiTheme="majorHAnsi" w:hAnsiTheme="majorHAnsi" w:cs="Arial"/>
                      <w:b/>
                      <w:sz w:val="18"/>
                      <w:szCs w:val="18"/>
                    </w:rPr>
                  </w:r>
                  <w:r w:rsidR="00CF0890">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sidRPr="00B25DE3">
              <w:rPr>
                <w:rFonts w:asciiTheme="majorHAnsi" w:hAnsiTheme="majorHAnsi"/>
                <w:b/>
                <w:sz w:val="18"/>
                <w:szCs w:val="18"/>
              </w:rPr>
              <w:t>The acquired right to enroll in the third year of study</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FBF">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FBF">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FBF">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25DE3" w:rsidRPr="00B25DE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Department of Chemistry – Study Programs: Applied Chemistry, Chemistry Education,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87E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87EA5">
              <w:rPr>
                <w:rFonts w:asciiTheme="majorHAnsi" w:hAnsiTheme="majorHAnsi" w:cs="Arial"/>
                <w:b/>
                <w:sz w:val="18"/>
                <w:szCs w:val="18"/>
              </w:rPr>
              <w:t xml:space="preserve">Phd. </w:t>
            </w:r>
            <w:r w:rsidR="00087EA5" w:rsidRPr="00087EA5">
              <w:rPr>
                <w:rFonts w:asciiTheme="majorHAnsi" w:hAnsiTheme="majorHAnsi" w:cs="Arial"/>
                <w:b/>
                <w:sz w:val="18"/>
                <w:szCs w:val="18"/>
              </w:rPr>
              <w:t>Indira Šestan, Associate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D2FBF" w:rsidRPr="001D2FB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FBF" w:rsidRPr="001D2FBF">
              <w:rPr>
                <w:rFonts w:asciiTheme="majorHAnsi" w:hAnsiTheme="majorHAnsi" w:cs="Arial"/>
                <w:b/>
                <w:sz w:val="18"/>
                <w:szCs w:val="18"/>
              </w:rPr>
              <w:t>Electrochemistry, as a general and fundamental course, is intended to provide students with basic theoretical and practical knowledge that will enable them to understand and apply the principles and quantitative laws of electrochemistry in the analysis and explanation of electrochemical processes, including:</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lastRenderedPageBreak/>
              <w:t>•</w:t>
            </w:r>
            <w:r w:rsidRPr="001D2FBF">
              <w:rPr>
                <w:rFonts w:asciiTheme="majorHAnsi" w:hAnsiTheme="majorHAnsi" w:cs="Arial"/>
                <w:b/>
                <w:sz w:val="18"/>
                <w:szCs w:val="18"/>
              </w:rPr>
              <w:tab/>
              <w:t>The phenomenon of electrical conduction through electrolyte solutions.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Physicochemical characteristics of electrolytes under equilibrium conditions and during irreversible processes.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The formation of potential differences at the solid–liquid interface.</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The development of electrode potentials.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The conversion of chemical energy into electrical energy in galvanic cells.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The characteristics of electrolytic processes and electrochemical kinetics.</w:t>
            </w:r>
          </w:p>
          <w:p w:rsidR="00CB72ED" w:rsidRPr="00B96B4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w:t>
            </w:r>
            <w:r w:rsidRPr="001D2FBF">
              <w:rPr>
                <w:rFonts w:asciiTheme="majorHAnsi" w:hAnsiTheme="majorHAnsi" w:cs="Arial"/>
                <w:b/>
                <w:sz w:val="18"/>
                <w:szCs w:val="18"/>
              </w:rPr>
              <w:tab/>
              <w:t>The application of these phenomena in chemical, biochemical, and technological processes.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D2FBF" w:rsidRPr="001D2FB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FBF" w:rsidRPr="001D2FBF">
              <w:rPr>
                <w:rFonts w:asciiTheme="majorHAnsi" w:hAnsiTheme="majorHAnsi" w:cs="Arial"/>
                <w:b/>
                <w:sz w:val="18"/>
                <w:szCs w:val="18"/>
              </w:rPr>
              <w:t>Acquisition of theoretical and practical knowledge necessary for the application of electrochemical systems.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Upon completion of the course, students will be able to:</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•Apply and refine fundamental knowledge to explain charge transfer in electrochemical systems using modern electrochemical methods.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•Apply basic electrochemical principles to define equilibrium and non-equilibrium processes in electrochemical systems.</w:t>
            </w:r>
          </w:p>
          <w:p w:rsidR="00CB72ED" w:rsidRPr="00B96B4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•Utilize the acquired knowledge in the application of electrochemical methods for analytical purposes and in applied electrochemical processes.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D2FBF" w:rsidRPr="001D2FB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FBF" w:rsidRPr="001D2FBF">
              <w:rPr>
                <w:rFonts w:asciiTheme="majorHAnsi" w:hAnsiTheme="majorHAnsi" w:cs="Arial"/>
                <w:b/>
                <w:sz w:val="18"/>
                <w:szCs w:val="18"/>
              </w:rPr>
              <w:t>Electrochemical Systems: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•Equilibria in electrolyte solutions: theories of electrolyte dissociation; weak and strong electrolytes; Faraday’s laws; real and ideal electrolyte solutions.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•Non-equilibrium phenomena: theories of electrical conductivity; transport numbers; conductometry; ion diffusion.</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•Conversion of chemical energy into electrical energy: galvanic cells; accumulators; equilibrium voltage of galvanic cells; Nernst equation.</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•Electrode potentials: redox equilibria; types of electrodes; reference electrodes.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•Electrolysis and electrode kinetics: decomposition voltage; overpotential and polarization; types of overpotential; measurement of anode and cathode potentials.</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•Electrochemical double layer: electrowetting; diffusion overpotential; crystallization overpotential; electrochemical overpotential.</w:t>
            </w:r>
          </w:p>
          <w:p w:rsidR="001D2FBF" w:rsidRPr="001D2FB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•Methods for studying electrode processes: electrode materials; electrochemical methods for investigating kinetics and mechanisms of electrochemical processes.</w:t>
            </w:r>
          </w:p>
          <w:p w:rsidR="00CB72ED" w:rsidRPr="00B96B4F" w:rsidRDefault="001D2FBF" w:rsidP="001D2FBF">
            <w:pPr>
              <w:pStyle w:val="NoSpacing"/>
              <w:rPr>
                <w:rFonts w:asciiTheme="majorHAnsi" w:hAnsiTheme="majorHAnsi" w:cs="Arial"/>
                <w:b/>
                <w:sz w:val="18"/>
                <w:szCs w:val="18"/>
              </w:rPr>
            </w:pPr>
            <w:r w:rsidRPr="001D2FBF">
              <w:rPr>
                <w:rFonts w:asciiTheme="majorHAnsi" w:hAnsiTheme="majorHAnsi" w:cs="Arial"/>
                <w:b/>
                <w:sz w:val="18"/>
                <w:szCs w:val="18"/>
              </w:rPr>
              <w:t>•Applied electrochemistry: electrolytic processes; electrometallurgy; electrosynthesis; electroanalytical methods; bio-electrochemical processes.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FBF" w:rsidRPr="001D2FBF">
              <w:rPr>
                <w:rFonts w:asciiTheme="majorHAnsi" w:hAnsiTheme="majorHAnsi" w:cs="Arial"/>
                <w:b/>
                <w:sz w:val="18"/>
                <w:szCs w:val="18"/>
              </w:rPr>
              <w:t>Lectures, laboratory exercises, consultations, and visits to industrial processes with practical training.</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01E4C" w:rsidRPr="00A01E4C" w:rsidRDefault="006D5B9B" w:rsidP="00A01E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1E4C" w:rsidRPr="00A01E4C">
              <w:rPr>
                <w:rFonts w:asciiTheme="majorHAnsi" w:hAnsiTheme="majorHAnsi" w:cs="Arial"/>
                <w:b/>
                <w:sz w:val="18"/>
                <w:szCs w:val="18"/>
              </w:rPr>
              <w:t>Methods of Knowledge Assessment:</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•During the course, each student is required to take one midterm test (theory with calculations) and present one seminar paper.</w:t>
            </w:r>
          </w:p>
          <w:p w:rsidR="00CB72ED" w:rsidRPr="00B96B4F"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•Final Exam – All students who have not earned enough points for a grade, as well as those who wish to improve their grade, are required to take the final exam.</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01E4C" w:rsidRPr="00A01E4C" w:rsidRDefault="006D5B9B" w:rsidP="00A01E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1E4C" w:rsidRPr="00A01E4C">
              <w:rPr>
                <w:rFonts w:asciiTheme="majorHAnsi" w:hAnsiTheme="majorHAnsi" w:cs="Arial"/>
                <w:b/>
                <w:sz w:val="18"/>
                <w:szCs w:val="18"/>
              </w:rPr>
              <w:t>Grading Breakdown:</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•Class attendance: 5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•Completion of practical exercises: 10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•Test I: 35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•Seminar paper: 15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•Final exam: 35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Total: 100 points</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Grade Scale (Weighted Factor):</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55–64 points = 6</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65–74 points = 7</w:t>
            </w:r>
          </w:p>
          <w:p w:rsidR="00A01E4C" w:rsidRP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75–84 points = 8</w:t>
            </w:r>
          </w:p>
          <w:p w:rsidR="00A01E4C"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85–94 points = 9</w:t>
            </w:r>
          </w:p>
          <w:p w:rsidR="00CB72ED" w:rsidRPr="00B96B4F"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t>95–100 points = 10</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01E4C" w:rsidRPr="00A01E4C" w:rsidRDefault="006D5B9B" w:rsidP="00A01E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1E4C" w:rsidRPr="00A01E4C">
              <w:rPr>
                <w:rFonts w:asciiTheme="majorHAnsi" w:hAnsiTheme="majorHAnsi" w:cs="Arial"/>
                <w:b/>
                <w:sz w:val="18"/>
                <w:szCs w:val="18"/>
              </w:rPr>
              <w:t>1. I. Šestan., A.Odobašić., H.Keran., M.Ahmetović:  (2022), Kinetika i mehanizmi fizikalno hemijski procesa, str.183-248, Univerzitet u Tuzli, Univerzitetski udžbenik</w:t>
            </w:r>
          </w:p>
          <w:p w:rsidR="00CB72ED" w:rsidRPr="00B96B4F" w:rsidRDefault="00A01E4C" w:rsidP="00A01E4C">
            <w:pPr>
              <w:pStyle w:val="NoSpacing"/>
              <w:rPr>
                <w:rFonts w:asciiTheme="majorHAnsi" w:hAnsiTheme="majorHAnsi" w:cs="Arial"/>
                <w:b/>
                <w:sz w:val="18"/>
                <w:szCs w:val="18"/>
              </w:rPr>
            </w:pPr>
            <w:r w:rsidRPr="00A01E4C">
              <w:rPr>
                <w:rFonts w:asciiTheme="majorHAnsi" w:hAnsiTheme="majorHAnsi" w:cs="Arial"/>
                <w:b/>
                <w:sz w:val="18"/>
                <w:szCs w:val="18"/>
              </w:rPr>
              <w:lastRenderedPageBreak/>
              <w:t>2. S. Mantus: (2008), Elektrohemija, Univerzitet u Beogradu, Fakultet za Fizičku hemiju.</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59014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202</w:t>
            </w:r>
            <w:r w:rsidR="0059014E">
              <w:rPr>
                <w:rFonts w:asciiTheme="majorHAnsi" w:hAnsiTheme="majorHAnsi" w:cs="Arial"/>
                <w:b/>
                <w:sz w:val="18"/>
                <w:szCs w:val="18"/>
              </w:rPr>
              <w:t>6</w:t>
            </w:r>
            <w:r w:rsidR="00087EA5" w:rsidRPr="00087EA5">
              <w:rPr>
                <w:rFonts w:asciiTheme="majorHAnsi" w:hAnsiTheme="majorHAnsi" w:cs="Arial"/>
                <w:b/>
                <w:sz w:val="18"/>
                <w:szCs w:val="18"/>
              </w:rPr>
              <w:t>/202</w:t>
            </w:r>
            <w:r w:rsidR="0059014E">
              <w:rPr>
                <w:rFonts w:asciiTheme="majorHAnsi" w:hAnsiTheme="majorHAnsi" w:cs="Arial"/>
                <w:b/>
                <w:sz w:val="18"/>
                <w:szCs w:val="18"/>
              </w:rPr>
              <w:t>7</w:t>
            </w:r>
            <w:bookmarkStart w:id="3" w:name="_GoBack"/>
            <w:bookmarkEnd w:id="3"/>
            <w:r w:rsidR="00087EA5" w:rsidRPr="00087EA5">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1D2FBF">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1D2FBF">
              <w:rPr>
                <w:rFonts w:asciiTheme="majorHAnsi" w:hAnsiTheme="majorHAnsi" w:cs="Arial"/>
                <w:b/>
                <w:sz w:val="18"/>
                <w:szCs w:val="18"/>
              </w:rPr>
            </w:r>
            <w:r w:rsidRPr="001D2FBF">
              <w:rPr>
                <w:rFonts w:asciiTheme="majorHAnsi" w:hAnsiTheme="majorHAnsi" w:cs="Arial"/>
                <w:b/>
                <w:sz w:val="18"/>
                <w:szCs w:val="18"/>
              </w:rPr>
              <w:fldChar w:fldCharType="separate"/>
            </w:r>
            <w:r w:rsidR="00FB48B6" w:rsidRPr="0059014E">
              <w:rPr>
                <w:rFonts w:asciiTheme="majorHAnsi" w:hAnsiTheme="majorHAnsi" w:cs="Arial"/>
                <w:b/>
                <w:spacing w:val="216"/>
                <w:sz w:val="18"/>
                <w:szCs w:val="18"/>
              </w:rPr>
              <w:t>    </w:t>
            </w:r>
            <w:r w:rsidR="00FB48B6" w:rsidRPr="0059014E">
              <w:rPr>
                <w:rFonts w:asciiTheme="majorHAnsi" w:hAnsiTheme="majorHAnsi" w:cs="Arial"/>
                <w:b/>
                <w:spacing w:val="-1"/>
                <w:sz w:val="18"/>
                <w:szCs w:val="18"/>
              </w:rPr>
              <w:t> </w:t>
            </w:r>
            <w:r w:rsidRPr="0059014E">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890" w:rsidRDefault="00CF0890">
      <w:pPr>
        <w:spacing w:line="240" w:lineRule="auto"/>
      </w:pPr>
      <w:r>
        <w:separator/>
      </w:r>
    </w:p>
  </w:endnote>
  <w:endnote w:type="continuationSeparator" w:id="0">
    <w:p w:rsidR="00CF0890" w:rsidRDefault="00CF0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59014E">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59014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59014E">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890" w:rsidRDefault="00CF0890">
      <w:pPr>
        <w:spacing w:after="0"/>
      </w:pPr>
      <w:r>
        <w:separator/>
      </w:r>
    </w:p>
  </w:footnote>
  <w:footnote w:type="continuationSeparator" w:id="0">
    <w:p w:rsidR="00CF0890" w:rsidRDefault="00CF08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7EA5"/>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03AE"/>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2FBF"/>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6671"/>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014E"/>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1E4C"/>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257F"/>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5DE3"/>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3B85"/>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0890"/>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3530"/>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DE4C-13E8-4BAC-BC09-72DF84D89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2026-03-05T09:38:00Z</dcterms:created>
  <dcterms:modified xsi:type="dcterms:W3CDTF">2026-03-12T09:50:00Z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